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5.png" ContentType="image/png"/>
  <Override PartName="/word/media/rId41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№6</w:t>
      </w:r>
    </w:p>
    <w:p>
      <w:pPr>
        <w:pStyle w:val="Subtitle"/>
      </w:pPr>
      <w:r>
        <w:t xml:space="preserve">Администрирование локальных сетей</w:t>
      </w:r>
    </w:p>
    <w:p>
      <w:pPr>
        <w:pStyle w:val="Author"/>
      </w:pPr>
      <w:r>
        <w:t xml:space="preserve">Бансимба Клодели Дьегра, 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Настроить статическую маршрутизацию VLAN в сети</w:t>
      </w:r>
    </w:p>
    <w:bookmarkEnd w:id="20"/>
    <w:bookmarkStart w:id="5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проект с названием lab_PT-05.pkt и сохраним под названием lab_PT-06.pkt. После чего откроем его для дальнейшего редактирования (рис. fig. 1).</w:t>
      </w:r>
    </w:p>
    <w:bookmarkStart w:id="24" w:name="fig:001"/>
    <w:p>
      <w:pPr>
        <w:pStyle w:val="CaptionedFigure"/>
      </w:pPr>
      <w:r>
        <w:drawing>
          <wp:inline>
            <wp:extent cx="3733800" cy="468745"/>
            <wp:effectExtent b="0" l="0" r="0" t="0"/>
            <wp:docPr descr="Рис. 1: Открытие проекта lab_PT-06.pkt" title="" id="22" name="Picture"/>
            <a:graphic>
              <a:graphicData uri="http://schemas.openxmlformats.org/drawingml/2006/picture">
                <pic:pic>
                  <pic:nvPicPr>
                    <pic:cNvPr descr="image/0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8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Открытие проекта lab_PT-06.pkt</w:t>
      </w:r>
    </w:p>
    <w:bookmarkEnd w:id="24"/>
    <w:p>
      <w:pPr>
        <w:pStyle w:val="BodyText"/>
      </w:pPr>
      <w:r>
        <w:t xml:space="preserve">В логической области проекта разместим маршрутизатор Cisco 2811, подключим его к порту 24 коммутатора msk-donskaya-claudely-sw-1 в соответствии с таблицей портов</w:t>
      </w:r>
    </w:p>
    <w:bookmarkStart w:id="28" w:name="fig:002"/>
    <w:p>
      <w:pPr>
        <w:pStyle w:val="CaptionedFigure"/>
      </w:pPr>
      <w:r>
        <w:drawing>
          <wp:inline>
            <wp:extent cx="3733800" cy="1886551"/>
            <wp:effectExtent b="0" l="0" r="0" t="0"/>
            <wp:docPr descr="Рис. 2: Размещение маршрутизатора Cisco 2811 в логической области проекта и подключение его к порту 24 коммутатора msk-donskaya-claudely-sw-1." title="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6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Размещение маршрутизатора Cisco 2811 в логической области проекта и подключение его к порту 24 коммутатора msk-donskaya-claudely-sw-1.</w:t>
      </w:r>
    </w:p>
    <w:bookmarkEnd w:id="28"/>
    <w:p>
      <w:pPr>
        <w:pStyle w:val="BodyText"/>
      </w:pPr>
      <w:r>
        <w:t xml:space="preserve">Используя приведённую последовательность команд в лабораторной работе по первоначальной настройке маршрутизатора, сконфигурируем маршрутизатор, задав на нём имя, пароль для доступа к консоли и настроим удалённое подключение к нему по ssh</w:t>
      </w:r>
    </w:p>
    <w:bookmarkStart w:id="32" w:name="fig:003"/>
    <w:p>
      <w:pPr>
        <w:pStyle w:val="CaptionedFigure"/>
      </w:pPr>
      <w:r>
        <w:drawing>
          <wp:inline>
            <wp:extent cx="3733800" cy="4083090"/>
            <wp:effectExtent b="0" l="0" r="0" t="0"/>
            <wp:docPr descr="Рис. 3: Конфигурация маршрутизатора: имя, пароль для доступа к консоли и настройка удалённого подключение к нему по ssh" title="" id="30" name="Picture"/>
            <a:graphic>
              <a:graphicData uri="http://schemas.openxmlformats.org/drawingml/2006/picture">
                <pic:pic>
                  <pic:nvPicPr>
                    <pic:cNvPr descr="image/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83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Конфигурация маршрутизатора: имя, пароль для доступа к консоли и настройка удалённого подключение к нему по ssh</w:t>
      </w:r>
    </w:p>
    <w:bookmarkEnd w:id="32"/>
    <w:p>
      <w:pPr>
        <w:pStyle w:val="BodyText"/>
      </w:pPr>
      <w:r>
        <w:t xml:space="preserve">Теперь настроим порт 24 коммутатора msk-donskaya-claudely-sw-1 как trunk-порт</w:t>
      </w:r>
    </w:p>
    <w:bookmarkStart w:id="36" w:name="fig:004"/>
    <w:p>
      <w:pPr>
        <w:pStyle w:val="CaptionedFigure"/>
      </w:pPr>
      <w:r>
        <w:drawing>
          <wp:inline>
            <wp:extent cx="3733800" cy="3733800"/>
            <wp:effectExtent b="0" l="0" r="0" t="0"/>
            <wp:docPr descr="Рис. 4: Настройка порта 24 коммутатора msk-donskaya-claudely-sw-1 как trunk-порт." title="" id="34" name="Picture"/>
            <a:graphic>
              <a:graphicData uri="http://schemas.openxmlformats.org/drawingml/2006/picture">
                <pic:pic>
                  <pic:nvPicPr>
                    <pic:cNvPr descr="image/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порта 24 коммутатора msk-donskaya-claudely-sw-1 как trunk-порт.</w:t>
      </w:r>
    </w:p>
    <w:bookmarkEnd w:id="36"/>
    <w:p>
      <w:pPr>
        <w:pStyle w:val="BodyText"/>
      </w:pPr>
      <w:r>
        <w:t xml:space="preserve">Изменим на схеме наименование маршрутизатора Cisco 2811 на msk-donskaya-claudely-gw-1</w:t>
      </w:r>
    </w:p>
    <w:bookmarkStart w:id="40" w:name="fig:005"/>
    <w:p>
      <w:pPr>
        <w:pStyle w:val="CaptionedFigure"/>
      </w:pPr>
      <w:r>
        <w:drawing>
          <wp:inline>
            <wp:extent cx="3733800" cy="1604460"/>
            <wp:effectExtent b="0" l="0" r="0" t="0"/>
            <wp:docPr descr="Рис. 5: Изменим на схеме наименование маршрутизатора Cisco 2811 на msk-donskaya-claudely-gw-1" title="" id="38" name="Picture"/>
            <a:graphic>
              <a:graphicData uri="http://schemas.openxmlformats.org/drawingml/2006/picture">
                <pic:pic>
                  <pic:nvPicPr>
                    <pic:cNvPr descr="image/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4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Изменим на схеме наименование маршрутизатора Cisco 2811 на msk-donskaya-claudely-gw-1</w:t>
      </w:r>
    </w:p>
    <w:bookmarkEnd w:id="40"/>
    <w:p>
      <w:pPr>
        <w:pStyle w:val="BodyText"/>
      </w:pPr>
      <w:r>
        <w:t xml:space="preserve">На интерфейсе f0/0 маршрутизатора msk-donskaya-claudely-gw-1 настроим виртуальные интерфейсы, соответствующие номерам VLAN. Согласно таблице IP-адресов зададим соответствующие IP-адреса на виртуальных интерфейсах</w:t>
      </w:r>
    </w:p>
    <w:bookmarkStart w:id="44" w:name="fig:006"/>
    <w:p>
      <w:pPr>
        <w:pStyle w:val="CaptionedFigure"/>
      </w:pPr>
      <w:r>
        <w:drawing>
          <wp:inline>
            <wp:extent cx="3733800" cy="4255024"/>
            <wp:effectExtent b="0" l="0" r="0" t="0"/>
            <wp:docPr descr="Рис. 6: Настройка на интерфейсе f0/0 маршрутизатора msk-donskaya-claudely-gw-1 виртуальных интерфейсов, соответствующих номерам VLAN. Настройка соответствующих IP-адресов на виртуальных интерфейсах согласно таблице IP-адресов." title="" id="42" name="Picture"/>
            <a:graphic>
              <a:graphicData uri="http://schemas.openxmlformats.org/drawingml/2006/picture">
                <pic:pic>
                  <pic:nvPicPr>
                    <pic:cNvPr descr="image/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55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на интерфейсе f0/0 маршрутизатора msk-donskaya-claudely-gw-1 виртуальных интерфейсов, соответствующих номерам VLAN. Настройка соответствующих IP-адресов на виртуальных интерфейсах согласно таблице IP-адресов.</w:t>
      </w:r>
    </w:p>
    <w:bookmarkEnd w:id="44"/>
    <w:bookmarkStart w:id="48" w:name="fig:007"/>
    <w:p>
      <w:pPr>
        <w:pStyle w:val="CaptionedFigure"/>
      </w:pPr>
      <w:r>
        <w:drawing>
          <wp:inline>
            <wp:extent cx="3733800" cy="2441072"/>
            <wp:effectExtent b="0" l="0" r="0" t="0"/>
            <wp:docPr descr="Рис. 7: Настройка на интерфейсе f0/0 маршрутизатора msk-donskaya-claudely-gw-1 виртуальных интерфейсов, соответствующих номерам VLAN. Настройка соответствующих IP-адресов на виртуальных интерфейсах согласно таблице IP-адресов." title="" id="46" name="Picture"/>
            <a:graphic>
              <a:graphicData uri="http://schemas.openxmlformats.org/drawingml/2006/picture">
                <pic:pic>
                  <pic:nvPicPr>
                    <pic:cNvPr descr="image/5'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1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на интерфейсе f0/0 маршрутизатора msk-donskaya-claudely-gw-1 виртуальных интерфейсов, соответствующих номерам VLAN. Настройка соответствующих IP-адресов на виртуальных интерфейсах согласно таблице IP-адресов.</w:t>
      </w:r>
    </w:p>
    <w:bookmarkEnd w:id="48"/>
    <w:p>
      <w:pPr>
        <w:pStyle w:val="BodyText"/>
      </w:pPr>
      <w:r>
        <w:t xml:space="preserve">После всех настроек проверим доступность оконечных устройств из разных VLAN</w:t>
      </w:r>
    </w:p>
    <w:bookmarkStart w:id="52" w:name="fig:008"/>
    <w:p>
      <w:pPr>
        <w:pStyle w:val="CaptionedFigure"/>
      </w:pPr>
      <w:r>
        <w:drawing>
          <wp:inline>
            <wp:extent cx="3733800" cy="3966307"/>
            <wp:effectExtent b="0" l="0" r="0" t="0"/>
            <wp:docPr descr="Рис. 8: Проверка доступности оконечных устройств из разных VLAN." title="" id="50" name="Picture"/>
            <a:graphic>
              <a:graphicData uri="http://schemas.openxmlformats.org/drawingml/2006/picture">
                <pic:pic>
                  <pic:nvPicPr>
                    <pic:cNvPr descr="image/6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66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 доступности оконечных устройств из разных VLAN.</w:t>
      </w:r>
    </w:p>
    <w:bookmarkEnd w:id="52"/>
    <w:p>
      <w:pPr>
        <w:pStyle w:val="BodyText"/>
      </w:pPr>
      <w:r>
        <w:t xml:space="preserve">Используя режим симуляции в Packet Tracer, изучим процесс передвижения пакета ICMP по сети</w:t>
      </w:r>
    </w:p>
    <w:bookmarkStart w:id="56" w:name="fig:009"/>
    <w:p>
      <w:pPr>
        <w:pStyle w:val="CaptionedFigure"/>
      </w:pPr>
      <w:r>
        <w:drawing>
          <wp:inline>
            <wp:extent cx="3733800" cy="1962164"/>
            <wp:effectExtent b="0" l="0" r="0" t="0"/>
            <wp:docPr descr="Рис. 9: Изучение процесса передвижения пакета ICMP по сети в режиме симуляции в Packet Tracer." title="" id="54" name="Picture"/>
            <a:graphic>
              <a:graphicData uri="http://schemas.openxmlformats.org/drawingml/2006/picture">
                <pic:pic>
                  <pic:nvPicPr>
                    <pic:cNvPr descr="image/7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2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Изучение процесса передвижения пакета ICMP по сети в режиме симуляции в Packet Tracer.</w:t>
      </w:r>
    </w:p>
    <w:bookmarkEnd w:id="56"/>
    <w:bookmarkEnd w:id="57"/>
    <w:bookmarkStart w:id="5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научились настраивать статическую маршрутизацию VLAN в сети.</w:t>
      </w:r>
    </w:p>
    <w:bookmarkEnd w:id="58"/>
    <w:bookmarkStart w:id="59" w:name="ответы-на-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Ответы на контрольные вопросы:</w:t>
      </w:r>
    </w:p>
    <w:p>
      <w:pPr>
        <w:pStyle w:val="Compact"/>
        <w:numPr>
          <w:ilvl w:val="0"/>
          <w:numId w:val="1001"/>
        </w:numPr>
      </w:pPr>
      <w:r>
        <w:t xml:space="preserve">Охарактеризуйте стандарт IEEE 802.1Q - открытый стандарт, который описывает процедуру тегирования трафика для передачи информации о принадлежности к VLAN по сетям стандарта IEEE 802.3 Ethernet.</w:t>
      </w:r>
    </w:p>
    <w:p>
      <w:pPr>
        <w:pStyle w:val="Compact"/>
        <w:numPr>
          <w:ilvl w:val="0"/>
          <w:numId w:val="1001"/>
        </w:numPr>
      </w:pPr>
      <w:r>
        <w:t xml:space="preserve">Опишите формат кадра IEEE 802.1Q - добавляет 32-битное поле между MAC-адресом источника и полями EtherType исходного кадра. В соответствии с 802.1Q минимальный размер кадра остается 64 байта, но мост может увеличить минимальный размер кадра с 64 до 68 байтов при передаче IEEE 802.1Q.</w:t>
      </w:r>
    </w:p>
    <w:bookmarkEnd w:id="5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Бансимба Клодели Дьегра, НПИбд-02-22</dc:creator>
  <dc:language>ru-RU</dc:language>
  <cp:keywords/>
  <dcterms:created xsi:type="dcterms:W3CDTF">2025-03-20T10:52:30Z</dcterms:created>
  <dcterms:modified xsi:type="dcterms:W3CDTF">2025-03-20T10:52:30Z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documentclass">
    <vt:lpwstr>scrreprt</vt:lpwstr>
  </property>
  <property fmtid="{D5CDD505-2E9C-101B-9397-08002B2CF9AE}" pid="20" name="eqLabels">
    <vt:lpwstr>arabic</vt:lpwstr>
  </property>
  <property fmtid="{D5CDD505-2E9C-101B-9397-08002B2CF9AE}" pid="21" name="eqnBlockInlineMath">
    <vt:lpwstr>False</vt:lpwstr>
  </property>
  <property fmtid="{D5CDD505-2E9C-101B-9397-08002B2CF9AE}" pid="22" name="eqnBlockTemplate">
    <vt:lpwstr>ti</vt:lpwstr>
  </property>
  <property fmtid="{D5CDD505-2E9C-101B-9397-08002B2CF9AE}" pid="23" name="eqnDisplayTemplate">
    <vt:lpwstr>e</vt:lpwstr>
  </property>
  <property fmtid="{D5CDD505-2E9C-101B-9397-08002B2CF9AE}" pid="24" name="eqnIndexTemplate">
    <vt:lpwstr>(i)</vt:lpwstr>
  </property>
  <property fmtid="{D5CDD505-2E9C-101B-9397-08002B2CF9AE}" pid="25" name="eqnInlineTableTemplate">
    <vt:lpwstr>e</vt:lpwstr>
  </property>
  <property fmtid="{D5CDD505-2E9C-101B-9397-08002B2CF9AE}" pid="26" name="eqnInlineTemplate">
    <vt:lpwstr>eequationNumberTeX{i}</vt:lpwstr>
  </property>
  <property fmtid="{D5CDD505-2E9C-101B-9397-08002B2CF9AE}" pid="27" name="eqnPrefix">
    <vt:lpwstr/>
  </property>
  <property fmtid="{D5CDD505-2E9C-101B-9397-08002B2CF9AE}" pid="28" name="eqnPrefixTemplate">
    <vt:lpwstr>p i</vt:lpwstr>
  </property>
  <property fmtid="{D5CDD505-2E9C-101B-9397-08002B2CF9AE}" pid="29" name="equationNumberTeX">
    <vt:lpwstr>\qquad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Рис.</vt:lpwstr>
  </property>
  <property fmtid="{D5CDD505-2E9C-101B-9397-08002B2CF9AE}" pid="35" name="fontsize">
    <vt:lpwstr>12pt</vt:lpwstr>
  </property>
  <property fmtid="{D5CDD505-2E9C-101B-9397-08002B2CF9AE}" pid="36" name="header-includes">
    <vt:lpwstr/>
  </property>
  <property fmtid="{D5CDD505-2E9C-101B-9397-08002B2CF9AE}" pid="37" name="indent">
    <vt:lpwstr>True</vt:lpwstr>
  </property>
  <property fmtid="{D5CDD505-2E9C-101B-9397-08002B2CF9AE}" pid="38" name="lastDelim">
    <vt:lpwstr>, </vt:lpwstr>
  </property>
  <property fmtid="{D5CDD505-2E9C-101B-9397-08002B2CF9AE}" pid="39" name="linestretch">
    <vt:lpwstr>1.5</vt:lpwstr>
  </property>
  <property fmtid="{D5CDD505-2E9C-101B-9397-08002B2CF9AE}" pid="40" name="linkReferences">
    <vt:lpwstr>False</vt:lpwstr>
  </property>
  <property fmtid="{D5CDD505-2E9C-101B-9397-08002B2CF9AE}" pid="41" name="listItemTitleDelim">
    <vt:lpwstr>.</vt:lpwstr>
  </property>
  <property fmtid="{D5CDD505-2E9C-101B-9397-08002B2CF9AE}" pid="42" name="listingTemplate">
    <vt:lpwstr>listingTitle ititleDelim t</vt:lpwstr>
  </property>
  <property fmtid="{D5CDD505-2E9C-101B-9397-08002B2CF9AE}" pid="43" name="listingTitle">
    <vt:lpwstr>Листинг</vt:lpwstr>
  </property>
  <property fmtid="{D5CDD505-2E9C-101B-9397-08002B2CF9AE}" pid="44" name="listings">
    <vt:lpwstr>False</vt:lpwstr>
  </property>
  <property fmtid="{D5CDD505-2E9C-101B-9397-08002B2CF9AE}" pid="45" name="lof">
    <vt:lpwstr>True</vt:lpwstr>
  </property>
  <property fmtid="{D5CDD505-2E9C-101B-9397-08002B2CF9AE}" pid="46" name="lofItemTemplate">
    <vt:lpwstr>lofItemTitleilistItemTitleDelimt </vt:lpwstr>
  </property>
  <property fmtid="{D5CDD505-2E9C-101B-9397-08002B2CF9AE}" pid="47" name="lofItemTitle">
    <vt:lpwstr/>
  </property>
  <property fmtid="{D5CDD505-2E9C-101B-9397-08002B2CF9AE}" pid="48" name="lofTitle">
    <vt:lpwstr>Список иллюстраций</vt:lpwstr>
  </property>
  <property fmtid="{D5CDD505-2E9C-101B-9397-08002B2CF9AE}" pid="49" name="lolItemTemplate">
    <vt:lpwstr>lolItemTitleilistItemTitleDelimt </vt:lpwstr>
  </property>
  <property fmtid="{D5CDD505-2E9C-101B-9397-08002B2CF9AE}" pid="50" name="lolItemTitle">
    <vt:lpwstr/>
  </property>
  <property fmtid="{D5CDD505-2E9C-101B-9397-08002B2CF9AE}" pid="51" name="lolTitle">
    <vt:lpwstr>Листинги</vt:lpwstr>
  </property>
  <property fmtid="{D5CDD505-2E9C-101B-9397-08002B2CF9AE}" pid="52" name="lot">
    <vt:lpwstr>True</vt:lpwstr>
  </property>
  <property fmtid="{D5CDD505-2E9C-101B-9397-08002B2CF9AE}" pid="53" name="lotItemTemplate">
    <vt:lpwstr>lotItemTitleilistItemTitleDelimt </vt:lpwstr>
  </property>
  <property fmtid="{D5CDD505-2E9C-101B-9397-08002B2CF9AE}" pid="54" name="lotItemTitle">
    <vt:lpwstr/>
  </property>
  <property fmtid="{D5CDD505-2E9C-101B-9397-08002B2CF9AE}" pid="55" name="lotTitle">
    <vt:lpwstr>Список таблиц</vt:lpwstr>
  </property>
  <property fmtid="{D5CDD505-2E9C-101B-9397-08002B2CF9AE}" pid="56" name="lstLabels">
    <vt:lpwstr>arabic</vt:lpwstr>
  </property>
  <property fmtid="{D5CDD505-2E9C-101B-9397-08002B2CF9AE}" pid="57" name="lstPrefix">
    <vt:lpwstr/>
  </property>
  <property fmtid="{D5CDD505-2E9C-101B-9397-08002B2CF9AE}" pid="58" name="lstPrefixTemplate">
    <vt:lpwstr>p i</vt:lpwstr>
  </property>
  <property fmtid="{D5CDD505-2E9C-101B-9397-08002B2CF9AE}" pid="59" name="mainfont">
    <vt:lpwstr>IBM Plex Serif</vt:lpwstr>
  </property>
  <property fmtid="{D5CDD505-2E9C-101B-9397-08002B2CF9AE}" pid="60" name="mainfontoptions">
    <vt:lpwstr>Ligatures=Common,Ligatures=TeX,Scale=0.94</vt:lpwstr>
  </property>
  <property fmtid="{D5CDD505-2E9C-101B-9397-08002B2CF9AE}" pid="61" name="mathfont">
    <vt:lpwstr>STIX Two Math</vt:lpwstr>
  </property>
  <property fmtid="{D5CDD505-2E9C-101B-9397-08002B2CF9AE}" pid="62" name="mathfontoptions">
    <vt:lpwstr/>
  </property>
  <property fmtid="{D5CDD505-2E9C-101B-9397-08002B2CF9AE}" pid="63" name="monofont">
    <vt:lpwstr>IBM Plex Mono</vt:lpwstr>
  </property>
  <property fmtid="{D5CDD505-2E9C-101B-9397-08002B2CF9AE}" pid="64" name="monofontoptions">
    <vt:lpwstr>Scale=MatchLowercase,Scale=0.94,FakeStretch=0.9</vt:lpwstr>
  </property>
  <property fmtid="{D5CDD505-2E9C-101B-9397-08002B2CF9AE}" pid="65" name="nameInLink">
    <vt:lpwstr>False</vt:lpwstr>
  </property>
  <property fmtid="{D5CDD505-2E9C-101B-9397-08002B2CF9AE}" pid="66" name="numberSections">
    <vt:lpwstr>False</vt:lpwstr>
  </property>
  <property fmtid="{D5CDD505-2E9C-101B-9397-08002B2CF9AE}" pid="67" name="pairDelim">
    <vt:lpwstr>, </vt:lpwstr>
  </property>
  <property fmtid="{D5CDD505-2E9C-101B-9397-08002B2CF9AE}" pid="68" name="papersize">
    <vt:lpwstr>a4</vt:lpwstr>
  </property>
  <property fmtid="{D5CDD505-2E9C-101B-9397-08002B2CF9AE}" pid="69" name="polyglossia-lang">
    <vt:lpwstr/>
  </property>
  <property fmtid="{D5CDD505-2E9C-101B-9397-08002B2CF9AE}" pid="70" name="polyglossia-otherlangs">
    <vt:lpwstr/>
  </property>
  <property fmtid="{D5CDD505-2E9C-101B-9397-08002B2CF9AE}" pid="71" name="rangeDelim">
    <vt:lpwstr>-</vt:lpwstr>
  </property>
  <property fmtid="{D5CDD505-2E9C-101B-9397-08002B2CF9AE}" pid="72" name="refDelim">
    <vt:lpwstr>, </vt:lpwstr>
  </property>
  <property fmtid="{D5CDD505-2E9C-101B-9397-08002B2CF9AE}" pid="73" name="refIndexTemplate">
    <vt:lpwstr>isuf</vt:lpwstr>
  </property>
  <property fmtid="{D5CDD505-2E9C-101B-9397-08002B2CF9AE}" pid="74" name="romanfont">
    <vt:lpwstr>IBM Plex Serif</vt:lpwstr>
  </property>
  <property fmtid="{D5CDD505-2E9C-101B-9397-08002B2CF9AE}" pid="75" name="romanfontoptions">
    <vt:lpwstr>Ligatures=Common,Ligatures=TeX,Scale=0.94</vt:lpwstr>
  </property>
  <property fmtid="{D5CDD505-2E9C-101B-9397-08002B2CF9AE}" pid="76" name="sansfont">
    <vt:lpwstr>IBM Plex Sans</vt:lpwstr>
  </property>
  <property fmtid="{D5CDD505-2E9C-101B-9397-08002B2CF9AE}" pid="77" name="sansfontoptions">
    <vt:lpwstr>Ligatures=Common,Ligatures=TeX,Scale=MatchLowercase,Scale=0.94</vt:lpwstr>
  </property>
  <property fmtid="{D5CDD505-2E9C-101B-9397-08002B2CF9AE}" pid="78" name="secHeaderDelim">
    <vt:lpwstr> </vt:lpwstr>
  </property>
  <property fmtid="{D5CDD505-2E9C-101B-9397-08002B2CF9AE}" pid="79" name="secHeaderTemplate">
    <vt:lpwstr>isecHeaderDelim[n]t</vt:lpwstr>
  </property>
  <property fmtid="{D5CDD505-2E9C-101B-9397-08002B2CF9AE}" pid="80" name="secLabels">
    <vt:lpwstr>arabic</vt:lpwstr>
  </property>
  <property fmtid="{D5CDD505-2E9C-101B-9397-08002B2CF9AE}" pid="81" name="secPrefix">
    <vt:lpwstr/>
  </property>
  <property fmtid="{D5CDD505-2E9C-101B-9397-08002B2CF9AE}" pid="82" name="secPrefixTemplate">
    <vt:lpwstr>p i</vt:lpwstr>
  </property>
  <property fmtid="{D5CDD505-2E9C-101B-9397-08002B2CF9AE}" pid="83" name="sectionsDepth">
    <vt:lpwstr>0</vt:lpwstr>
  </property>
  <property fmtid="{D5CDD505-2E9C-101B-9397-08002B2CF9AE}" pid="84" name="subfigGrid">
    <vt:lpwstr>False</vt:lpwstr>
  </property>
  <property fmtid="{D5CDD505-2E9C-101B-9397-08002B2CF9AE}" pid="85" name="subfigLabels">
    <vt:lpwstr>alpha a</vt:lpwstr>
  </property>
  <property fmtid="{D5CDD505-2E9C-101B-9397-08002B2CF9AE}" pid="86" name="subfigureChildTemplate">
    <vt:lpwstr>i</vt:lpwstr>
  </property>
  <property fmtid="{D5CDD505-2E9C-101B-9397-08002B2CF9AE}" pid="87" name="subfigureRefIndexTemplate">
    <vt:lpwstr>isuf (s)</vt:lpwstr>
  </property>
  <property fmtid="{D5CDD505-2E9C-101B-9397-08002B2CF9AE}" pid="88" name="subfigureTemplate">
    <vt:lpwstr>figureTitle ititleDelim t. ccs</vt:lpwstr>
  </property>
  <property fmtid="{D5CDD505-2E9C-101B-9397-08002B2CF9AE}" pid="89" name="subtitle">
    <vt:lpwstr>Администрирование локальных сетей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  <property fmtid="{D5CDD505-2E9C-101B-9397-08002B2CF9AE}" pid="99" name="toc-title">
    <vt:lpwstr>Содержание</vt:lpwstr>
  </property>
</Properties>
</file>